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687EE428" w14:textId="535E144A" w:rsidR="005D2792" w:rsidRPr="005D2792" w:rsidRDefault="00A25DAD" w:rsidP="00FC5517">
      <w:pPr>
        <w:pStyle w:val="Heading2"/>
      </w:pPr>
      <w:r>
        <w:t xml:space="preserve">Personal </w:t>
      </w:r>
      <w:r w:rsidRPr="009C6E3F">
        <w:t>Details</w:t>
      </w:r>
    </w:p>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FC5517">
      <w:pPr>
        <w:spacing w:before="240" w:after="24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ECC6C84" w14:textId="77777777" w:rsidR="00FC5517" w:rsidRDefault="00ED2DF4" w:rsidP="00FC5517">
      <w:pPr>
        <w:spacing w:after="0" w:line="240" w:lineRule="auto"/>
        <w:jc w:val="center"/>
        <w:rPr>
          <w:b/>
          <w:bCs/>
          <w:sz w:val="32"/>
          <w:szCs w:val="32"/>
        </w:rPr>
      </w:pPr>
      <w:r w:rsidRPr="00ED2DF4">
        <w:rPr>
          <w:b/>
          <w:bCs/>
          <w:sz w:val="32"/>
          <w:szCs w:val="32"/>
        </w:rPr>
        <w:t>Please return the completed form to</w:t>
      </w:r>
      <w:r w:rsidR="00FC5517">
        <w:rPr>
          <w:b/>
          <w:bCs/>
          <w:sz w:val="32"/>
          <w:szCs w:val="32"/>
        </w:rPr>
        <w:t>:</w:t>
      </w:r>
    </w:p>
    <w:p w14:paraId="5135D550" w14:textId="77777777" w:rsidR="00FC5517" w:rsidRDefault="00FC5517" w:rsidP="00FC5517">
      <w:pPr>
        <w:spacing w:after="0" w:line="120" w:lineRule="exact"/>
        <w:jc w:val="center"/>
        <w:rPr>
          <w:b/>
          <w:bCs/>
          <w:sz w:val="32"/>
          <w:szCs w:val="32"/>
        </w:rPr>
      </w:pPr>
    </w:p>
    <w:p w14:paraId="0AC2195C" w14:textId="77777777" w:rsidR="00FC5517" w:rsidRDefault="00ED2DF4" w:rsidP="00FC5517">
      <w:pPr>
        <w:spacing w:after="0" w:line="240" w:lineRule="auto"/>
        <w:jc w:val="center"/>
      </w:pPr>
      <w:r w:rsidRPr="00ED2DF4">
        <w:rPr>
          <w:b/>
          <w:bCs/>
          <w:sz w:val="32"/>
          <w:szCs w:val="32"/>
        </w:rPr>
        <w:t xml:space="preserve"> </w:t>
      </w:r>
      <w:r w:rsidR="00FC5517">
        <w:t xml:space="preserve">Pensions Shared Service </w:t>
      </w:r>
    </w:p>
    <w:p w14:paraId="48F6EBE1" w14:textId="77777777" w:rsidR="00FC5517" w:rsidRDefault="00FC5517" w:rsidP="00FC5517">
      <w:pPr>
        <w:spacing w:after="0" w:line="240" w:lineRule="auto"/>
        <w:jc w:val="center"/>
      </w:pPr>
      <w:r>
        <w:t xml:space="preserve">PO Box 72351 </w:t>
      </w:r>
    </w:p>
    <w:p w14:paraId="7D696EE3" w14:textId="535397E4" w:rsidR="00401324" w:rsidRDefault="00FC5517" w:rsidP="00FC5517">
      <w:pPr>
        <w:spacing w:after="0" w:line="240" w:lineRule="auto"/>
        <w:jc w:val="center"/>
      </w:pPr>
      <w:r>
        <w:t>London SW18 9LQ</w:t>
      </w:r>
    </w:p>
    <w:p w14:paraId="6A27518C" w14:textId="77777777" w:rsidR="00FC5517" w:rsidRDefault="00FC5517" w:rsidP="00FC5517">
      <w:pPr>
        <w:spacing w:after="0" w:line="120" w:lineRule="exact"/>
        <w:jc w:val="center"/>
      </w:pPr>
    </w:p>
    <w:p w14:paraId="4DF39AE7" w14:textId="1E278E06" w:rsidR="00FC5517" w:rsidRDefault="00FC5517" w:rsidP="00FC5517">
      <w:pPr>
        <w:spacing w:after="0" w:line="240" w:lineRule="auto"/>
        <w:jc w:val="center"/>
        <w:rPr>
          <w:b/>
          <w:bCs/>
          <w:sz w:val="32"/>
          <w:szCs w:val="32"/>
        </w:rPr>
      </w:pPr>
      <w:r>
        <w:t xml:space="preserve">Alternatively, a scanned copy of the completed form can be sent to: </w:t>
      </w:r>
      <w:hyperlink r:id="rId11" w:history="1">
        <w:r w:rsidRPr="00FC5517">
          <w:rPr>
            <w:rStyle w:val="Hyperlink"/>
            <w:b/>
            <w:bCs/>
          </w:rPr>
          <w:t>pensions@richmon</w:t>
        </w:r>
        <w:r w:rsidRPr="00FC5517">
          <w:rPr>
            <w:rStyle w:val="Hyperlink"/>
            <w:b/>
            <w:bCs/>
          </w:rPr>
          <w:t>d</w:t>
        </w:r>
        <w:r w:rsidRPr="00FC5517">
          <w:rPr>
            <w:rStyle w:val="Hyperlink"/>
            <w:b/>
            <w:bCs/>
          </w:rPr>
          <w:t>andwandsworth.gov.uk</w:t>
        </w:r>
      </w:hyperlink>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2"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even" r:id="rId13"/>
      <w:headerReference w:type="default" r:id="rId14"/>
      <w:headerReference w:type="first" r:id="rId15"/>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D3CA" w14:textId="77777777" w:rsidR="0089240D" w:rsidRDefault="0089240D" w:rsidP="0053200F">
      <w:pPr>
        <w:spacing w:after="0" w:line="240" w:lineRule="auto"/>
      </w:pPr>
      <w:r>
        <w:separator/>
      </w:r>
    </w:p>
  </w:endnote>
  <w:endnote w:type="continuationSeparator" w:id="0">
    <w:p w14:paraId="746DC8F0"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F8E" w14:textId="77777777" w:rsidR="0089240D" w:rsidRDefault="0089240D" w:rsidP="0053200F">
      <w:pPr>
        <w:spacing w:after="0" w:line="240" w:lineRule="auto"/>
      </w:pPr>
      <w:r>
        <w:separator/>
      </w:r>
    </w:p>
  </w:footnote>
  <w:footnote w:type="continuationSeparator" w:id="0">
    <w:p w14:paraId="0FC67EE5"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1FE4" w14:textId="0C83FE51" w:rsidR="00FC5517" w:rsidRDefault="00FC5517">
    <w:pPr>
      <w:pStyle w:val="Header"/>
    </w:pPr>
    <w:r>
      <w:rPr>
        <w:noProof/>
      </w:rPr>
      <mc:AlternateContent>
        <mc:Choice Requires="wps">
          <w:drawing>
            <wp:anchor distT="0" distB="0" distL="0" distR="0" simplePos="0" relativeHeight="251659264" behindDoc="0" locked="0" layoutInCell="1" allowOverlap="1" wp14:anchorId="3EC017BB" wp14:editId="2E352CFA">
              <wp:simplePos x="635" y="635"/>
              <wp:positionH relativeFrom="page">
                <wp:align>left</wp:align>
              </wp:positionH>
              <wp:positionV relativeFrom="page">
                <wp:align>top</wp:align>
              </wp:positionV>
              <wp:extent cx="650875" cy="370205"/>
              <wp:effectExtent l="0" t="0" r="15875" b="10795"/>
              <wp:wrapNone/>
              <wp:docPr id="8329494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C017BB" id="_x0000_t202" coordsize="21600,21600" o:spt="202" path="m,l,21600r21600,l21600,xe">
              <v:stroke joinstyle="miter"/>
              <v:path gradientshapeok="t" o:connecttype="rect"/>
            </v:shapetype>
            <v:shape id="Text Box 2" o:spid="_x0000_s1026" type="#_x0000_t202" alt="Official" style="position:absolute;margin-left:0;margin-top:0;width:51.2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" filled="f" stroked="f">
              <v:fill o:detectmouseclick="t"/>
              <v:textbox style="mso-fit-shape-to-text:t" inset="20pt,15pt,0,0">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4F697982" w:rsidR="0053200F" w:rsidRDefault="00FC5517" w:rsidP="00FC5517">
    <w:pPr>
      <w:pStyle w:val="Header"/>
      <w:tabs>
        <w:tab w:val="clear" w:pos="9026"/>
      </w:tabs>
      <w:ind w:left="-709"/>
    </w:pPr>
    <w:r>
      <w:rPr>
        <w:noProof/>
      </w:rPr>
      <mc:AlternateContent>
        <mc:Choice Requires="wps">
          <w:drawing>
            <wp:anchor distT="0" distB="0" distL="0" distR="0" simplePos="0" relativeHeight="251660288" behindDoc="0" locked="0" layoutInCell="1" allowOverlap="1" wp14:anchorId="1C67553B" wp14:editId="00499CCE">
              <wp:simplePos x="457200" y="0"/>
              <wp:positionH relativeFrom="page">
                <wp:align>left</wp:align>
              </wp:positionH>
              <wp:positionV relativeFrom="page">
                <wp:align>top</wp:align>
              </wp:positionV>
              <wp:extent cx="650875" cy="370205"/>
              <wp:effectExtent l="0" t="0" r="15875" b="10795"/>
              <wp:wrapNone/>
              <wp:docPr id="19166637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597CA425" w14:textId="1DB1F78F"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67553B" id="_x0000_t202" coordsize="21600,21600" o:spt="202" path="m,l,21600r21600,l21600,xe">
              <v:stroke joinstyle="miter"/>
              <v:path gradientshapeok="t" o:connecttype="rect"/>
            </v:shapetype>
            <v:shape id="Text Box 3" o:spid="_x0000_s1027" type="#_x0000_t202" alt="Official" style="position:absolute;left:0;text-align:left;margin-left:0;margin-top:0;width:51.2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" filled="f" stroked="f">
              <v:fill o:detectmouseclick="t"/>
              <v:textbox style="mso-fit-shape-to-text:t" inset="20pt,15pt,0,0">
                <w:txbxContent>
                  <w:p w14:paraId="597CA425" w14:textId="1DB1F78F"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r w:rsidR="0053200F">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r>
      <w:t xml:space="preserve">                                                                         </w:t>
    </w:r>
    <w:r w:rsidRPr="00873FBB">
      <w:rPr>
        <w:noProof/>
      </w:rPr>
      <w:drawing>
        <wp:inline distT="0" distB="0" distL="0" distR="0" wp14:anchorId="75374213" wp14:editId="63EECC36">
          <wp:extent cx="1581150" cy="1007055"/>
          <wp:effectExtent l="0" t="0" r="0" b="3175"/>
          <wp:docPr id="1950733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06063" name=""/>
                  <pic:cNvPicPr/>
                </pic:nvPicPr>
                <pic:blipFill rotWithShape="1">
                  <a:blip r:embed="rId2"/>
                  <a:srcRect l="79105" r="4388"/>
                  <a:stretch>
                    <a:fillRect/>
                  </a:stretch>
                </pic:blipFill>
                <pic:spPr bwMode="auto">
                  <a:xfrm>
                    <a:off x="0" y="0"/>
                    <a:ext cx="1588864" cy="101196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7E9" w14:textId="38B5D6FA" w:rsidR="00FC5517" w:rsidRDefault="00FC5517">
    <w:pPr>
      <w:pStyle w:val="Header"/>
    </w:pPr>
    <w:r>
      <w:rPr>
        <w:noProof/>
      </w:rPr>
      <mc:AlternateContent>
        <mc:Choice Requires="wps">
          <w:drawing>
            <wp:anchor distT="0" distB="0" distL="0" distR="0" simplePos="0" relativeHeight="251658240" behindDoc="0" locked="0" layoutInCell="1" allowOverlap="1" wp14:anchorId="330507B1" wp14:editId="5C5163A8">
              <wp:simplePos x="635" y="635"/>
              <wp:positionH relativeFrom="page">
                <wp:align>left</wp:align>
              </wp:positionH>
              <wp:positionV relativeFrom="page">
                <wp:align>top</wp:align>
              </wp:positionV>
              <wp:extent cx="650875" cy="370205"/>
              <wp:effectExtent l="0" t="0" r="15875" b="10795"/>
              <wp:wrapNone/>
              <wp:docPr id="45916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0507B1" id="_x0000_t202" coordsize="21600,21600" o:spt="202" path="m,l,21600r21600,l21600,xe">
              <v:stroke joinstyle="miter"/>
              <v:path gradientshapeok="t" o:connecttype="rect"/>
            </v:shapetype>
            <v:shape id="Text Box 1" o:spid="_x0000_s1028" type="#_x0000_t202" alt="Official" style="position:absolute;margin-left:0;margin-top:0;width:51.2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" filled="f" stroked="f">
              <v:fill o:detectmouseclick="t"/>
              <v:textbox style="mso-fit-shape-to-text:t" inset="20pt,15pt,0,0">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02B"/>
    <w:rsid w:val="002D445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C5517"/>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 w:type="character" w:styleId="FollowedHyperlink">
    <w:name w:val="FollowedHyperlink"/>
    <w:basedOn w:val="DefaultParagraphFont"/>
    <w:uiPriority w:val="99"/>
    <w:semiHidden/>
    <w:unhideWhenUsed/>
    <w:rsid w:val="00FC5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psmemb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richmondandwandsworth.gov.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3.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4.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Martin Doyle</cp:lastModifiedBy>
  <cp:revision>2</cp:revision>
  <dcterms:created xsi:type="dcterms:W3CDTF">2026-04-24T16:27:00Z</dcterms:created>
  <dcterms:modified xsi:type="dcterms:W3CDTF">2026-04-24T16:27:00Z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ClassificationContentMarkingHeaderShapeIds">
    <vt:lpwstr>2bca27d,31a5ccd4,723df7c5</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ies>
</file>